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附件</w:t>
      </w:r>
      <w:r>
        <w:rPr>
          <w:rFonts w:hint="eastAsia" w:ascii="Times New Roman" w:hAnsi="Times New Roman" w:eastAsia="方正黑体_GBK" w:cs="Times New Roman"/>
          <w:sz w:val="32"/>
          <w:szCs w:val="32"/>
        </w:rPr>
        <w:t>3</w:t>
      </w:r>
    </w:p>
    <w:p>
      <w:pPr>
        <w:adjustRightInd w:val="0"/>
        <w:snapToGrid w:val="0"/>
        <w:spacing w:after="156" w:afterLines="50"/>
        <w:jc w:val="center"/>
        <w:rPr>
          <w:rFonts w:ascii="Times New Roman" w:hAnsi="Times New Roman" w:eastAsia="方正小标宋_GBK" w:cs="Times New Roman"/>
          <w:sz w:val="44"/>
          <w:szCs w:val="44"/>
        </w:rPr>
      </w:pPr>
      <w:bookmarkStart w:id="0" w:name="_GoBack"/>
      <w:r>
        <w:rPr>
          <w:rFonts w:ascii="Times New Roman" w:hAnsi="Times New Roman" w:eastAsia="方正小标宋_GBK" w:cs="Times New Roman"/>
          <w:sz w:val="44"/>
          <w:szCs w:val="44"/>
        </w:rPr>
        <w:t>重庆市职业院校教师教学创新团队建设质量考核指标</w:t>
      </w:r>
      <w:bookmarkEnd w:id="0"/>
    </w:p>
    <w:tbl>
      <w:tblPr>
        <w:tblStyle w:val="3"/>
        <w:tblW w:w="13679" w:type="dxa"/>
        <w:jc w:val="center"/>
        <w:tblLayout w:type="fixed"/>
        <w:tblCellMar>
          <w:top w:w="0" w:type="dxa"/>
          <w:left w:w="108" w:type="dxa"/>
          <w:bottom w:w="0" w:type="dxa"/>
          <w:right w:w="108" w:type="dxa"/>
        </w:tblCellMar>
      </w:tblPr>
      <w:tblGrid>
        <w:gridCol w:w="1224"/>
        <w:gridCol w:w="1948"/>
        <w:gridCol w:w="10507"/>
      </w:tblGrid>
      <w:tr>
        <w:tblPrEx>
          <w:tblCellMar>
            <w:top w:w="0" w:type="dxa"/>
            <w:left w:w="108" w:type="dxa"/>
            <w:bottom w:w="0" w:type="dxa"/>
            <w:right w:w="108" w:type="dxa"/>
          </w:tblCellMar>
        </w:tblPrEx>
        <w:trPr>
          <w:trHeight w:val="392" w:hRule="atLeast"/>
          <w:tblHeader/>
          <w:jc w:val="center"/>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黑体" w:cs="Times New Roman"/>
                <w:color w:val="000000"/>
                <w:szCs w:val="21"/>
              </w:rPr>
            </w:pPr>
            <w:r>
              <w:rPr>
                <w:rFonts w:ascii="Times New Roman" w:hAnsi="Times New Roman" w:eastAsia="黑体" w:cs="Times New Roman"/>
                <w:color w:val="000000"/>
                <w:kern w:val="0"/>
                <w:szCs w:val="21"/>
                <w:lang w:bidi="ar"/>
              </w:rPr>
              <w:t>一级指标</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黑体" w:cs="Times New Roman"/>
                <w:color w:val="000000"/>
                <w:szCs w:val="21"/>
              </w:rPr>
            </w:pPr>
            <w:r>
              <w:rPr>
                <w:rFonts w:ascii="Times New Roman" w:hAnsi="Times New Roman" w:eastAsia="黑体" w:cs="Times New Roman"/>
                <w:color w:val="000000"/>
                <w:kern w:val="0"/>
                <w:szCs w:val="21"/>
                <w:lang w:bidi="ar"/>
              </w:rPr>
              <w:t>二级指标</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黑体" w:cs="Times New Roman"/>
                <w:color w:val="000000"/>
                <w:szCs w:val="21"/>
              </w:rPr>
            </w:pPr>
            <w:r>
              <w:rPr>
                <w:rFonts w:ascii="Times New Roman" w:hAnsi="Times New Roman" w:eastAsia="黑体" w:cs="Times New Roman"/>
                <w:color w:val="000000"/>
                <w:kern w:val="0"/>
                <w:szCs w:val="21"/>
                <w:lang w:bidi="ar"/>
              </w:rPr>
              <w:t>基本要求</w:t>
            </w:r>
          </w:p>
        </w:tc>
      </w:tr>
      <w:tr>
        <w:tblPrEx>
          <w:tblCellMar>
            <w:top w:w="0" w:type="dxa"/>
            <w:left w:w="108" w:type="dxa"/>
            <w:bottom w:w="0" w:type="dxa"/>
            <w:right w:w="108" w:type="dxa"/>
          </w:tblCellMar>
        </w:tblPrEx>
        <w:trPr>
          <w:trHeight w:val="752" w:hRule="atLeast"/>
          <w:jc w:val="center"/>
        </w:trPr>
        <w:tc>
          <w:tcPr>
            <w:tcW w:w="1224" w:type="dxa"/>
            <w:vMerge w:val="restart"/>
            <w:tcBorders>
              <w:top w:val="single" w:color="000000" w:sz="4" w:space="0"/>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A1.学校管理（20')</w:t>
            </w: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B1.高度重视（6')</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加强党对教师队伍建设的全面领导，列为一把手工程，学校主要负责人牵头成立工作专班，明确分管领导</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学校把团队建设工作纳入学校教师队伍建设发展规划和年度重点工作，定期研究团队建设工作</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学校合理确定团队建设负责部门，明确职责任务，积极推进团队建设</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学校积极开展各级团队建设，多层次团队统筹管理、同频共振</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B2.制度保障（4')</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学校制定团队教师学历提升、境内外访学研修、企业实践、课题研究、职称晋升等支持政策</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学校制定出台团队建设总体方案，思路清晰，定位精准，目标科学，相关制度配套完善</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B3.经费支持（4')</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建设周期有持续的专项经费支持，创新团队建设经费纳入年度预算</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学校鼓励创新团队通过校企合作、申报课题、社会服务等多种途径积极筹措发展资金</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B4.过程管理（6')</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学校制定出台团队建设管理办法，严格日常监管</w:t>
            </w:r>
          </w:p>
        </w:tc>
      </w:tr>
      <w:tr>
        <w:tblPrEx>
          <w:tblCellMar>
            <w:top w:w="0" w:type="dxa"/>
            <w:left w:w="108" w:type="dxa"/>
            <w:bottom w:w="0" w:type="dxa"/>
            <w:right w:w="108" w:type="dxa"/>
          </w:tblCellMar>
        </w:tblPrEx>
        <w:trPr>
          <w:trHeight w:val="75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学校制定团队评价指标，定期对团队建设情况进行指导诊断、评估，评价结果在绩效考核、评先评优等工作中有所反馈</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学校加强团队建设经费管理，严格履行预决算制度和程序，经费支出执行相关财务规定，标准合规、程序规范、票据齐全</w:t>
            </w:r>
          </w:p>
        </w:tc>
      </w:tr>
      <w:tr>
        <w:tblPrEx>
          <w:tblCellMar>
            <w:top w:w="0" w:type="dxa"/>
            <w:left w:w="108" w:type="dxa"/>
            <w:bottom w:w="0" w:type="dxa"/>
            <w:right w:w="108" w:type="dxa"/>
          </w:tblCellMar>
        </w:tblPrEx>
        <w:trPr>
          <w:trHeight w:val="392" w:hRule="atLeast"/>
          <w:jc w:val="center"/>
        </w:trPr>
        <w:tc>
          <w:tcPr>
            <w:tcW w:w="1224" w:type="dxa"/>
            <w:vMerge w:val="continue"/>
            <w:tcBorders>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学校及时报送团队建设工作月报、年度工作报告、研修安排表、过程管理资料、中期及终期工作总结、绩效报告、典型案例等相关资料</w:t>
            </w:r>
          </w:p>
        </w:tc>
      </w:tr>
      <w:tr>
        <w:tblPrEx>
          <w:tblCellMar>
            <w:top w:w="0" w:type="dxa"/>
            <w:left w:w="108" w:type="dxa"/>
            <w:bottom w:w="0" w:type="dxa"/>
            <w:right w:w="108" w:type="dxa"/>
          </w:tblCellMar>
        </w:tblPrEx>
        <w:trPr>
          <w:trHeight w:val="90" w:hRule="atLeast"/>
          <w:jc w:val="center"/>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A2.团队建设（30')</w:t>
            </w: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B5.目标规划（4')</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围绕团队建设总体方案，细化制定团队具体实施计划，做到内容衔接配套，举措可操作、可落地，效果可评估</w:t>
            </w:r>
          </w:p>
        </w:tc>
      </w:tr>
      <w:tr>
        <w:tblPrEx>
          <w:tblCellMar>
            <w:top w:w="0" w:type="dxa"/>
            <w:left w:w="108" w:type="dxa"/>
            <w:bottom w:w="0" w:type="dxa"/>
            <w:right w:w="108" w:type="dxa"/>
          </w:tblCellMar>
        </w:tblPrEx>
        <w:trPr>
          <w:trHeight w:val="173"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团队围绕具体实施计划，按年度制定工作计划，明确年度目标任务、责任分工、实施路径和绩效考核</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B6.师德师风（6')</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加强师德师风建设，大力弘扬教育家精神、职业精神、工匠精神</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把师德师风作为团队成员评价的第一标准，形成师德师风建设的长效机制</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团队负责人及成员师德师风良好，无违规违纪违反师德师风等情况</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B7.团队结构稳定优化（4')</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团队成员专业结构、职称结构和年龄结构合理，优势互补</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团队突出双师结构，专任教师和企业兼职人员分工明确、责任到人</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成员相对稳定，建设期内人员调整比例不超过30%</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B8.团队负责人能力提升和作用发挥（5')</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团队负责人领导力显著，能够积极发挥带头作用</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团队负责人能力提升措施得当、成效明显</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无特殊情况不得更换团队负责人</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B9.建设范式（6')</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创新团队建设方法路径，建有完善的运行机制，形成本团队建设模式</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对本团队建设模式进行提炼，形成可推广、可复制、有创新的团队建设范式和典型案例</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B10.过程管理（5')</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制定团队建设管理细则，加强团队运行管理，实现团队管理数字化、全程化、立体化</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建立团队建设方案、组织结构等优化调整机制，实现团队建设可持续发展</w:t>
            </w:r>
          </w:p>
        </w:tc>
      </w:tr>
      <w:tr>
        <w:tblPrEx>
          <w:tblCellMar>
            <w:top w:w="0" w:type="dxa"/>
            <w:left w:w="108" w:type="dxa"/>
            <w:bottom w:w="0" w:type="dxa"/>
            <w:right w:w="108" w:type="dxa"/>
          </w:tblCellMar>
        </w:tblPrEx>
        <w:trPr>
          <w:trHeight w:val="634"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运用信息化手段提高团队管理效能，实现数据输入、进程管理、资源共享、数据生成、绩效评价等各个环节全覆盖</w:t>
            </w:r>
          </w:p>
        </w:tc>
      </w:tr>
      <w:tr>
        <w:tblPrEx>
          <w:tblCellMar>
            <w:top w:w="0" w:type="dxa"/>
            <w:left w:w="108" w:type="dxa"/>
            <w:bottom w:w="0" w:type="dxa"/>
            <w:right w:w="108" w:type="dxa"/>
          </w:tblCellMar>
        </w:tblPrEx>
        <w:trPr>
          <w:trHeight w:val="682" w:hRule="atLeast"/>
          <w:jc w:val="center"/>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A3.教师能力提（40')</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B11.提升规划（10')</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制定科学合理的团队成员整体能力提升方案和有针对性的个人发展计划，明确标准要求和考核评价体系</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B12.发展平台（10')</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搭建多种类型教师研修平台，设立相关研修项目，调动团队成员积极参与</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借助政府、行业企业、民间组织等优质资源，拓宽教师成长通道</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与企业深度合作，建立教师实践基地等，助力团队成员双师素质提升</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B13.方法举措及成效（20')</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积极开展教师能力建设，方法得当、形式多样</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定期对教师能力和专业水平开展评价，适时优化调整建设举措和个人成长计划</w:t>
            </w:r>
          </w:p>
        </w:tc>
      </w:tr>
      <w:tr>
        <w:tblPrEx>
          <w:tblCellMar>
            <w:top w:w="0" w:type="dxa"/>
            <w:left w:w="108" w:type="dxa"/>
            <w:bottom w:w="0" w:type="dxa"/>
            <w:right w:w="108" w:type="dxa"/>
          </w:tblCellMar>
        </w:tblPrEx>
        <w:trPr>
          <w:trHeight w:val="75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教师能力提升效果明显，团队成员取得一定成果，在个人成长和荣誉获得等方面取得一定成绩；每位成员提交一节优质教学设计方案、课件、微课及课堂实录（调整人员成果认定为在团队期间所取得的成果，进入前和退出后的成果不计入）</w:t>
            </w:r>
          </w:p>
        </w:tc>
      </w:tr>
      <w:tr>
        <w:tblPrEx>
          <w:tblCellMar>
            <w:top w:w="0" w:type="dxa"/>
            <w:left w:w="108" w:type="dxa"/>
            <w:bottom w:w="0" w:type="dxa"/>
            <w:right w:w="108" w:type="dxa"/>
          </w:tblCellMar>
        </w:tblPrEx>
        <w:trPr>
          <w:trHeight w:val="392" w:hRule="atLeast"/>
          <w:jc w:val="center"/>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A4.团队协作（20')</w:t>
            </w: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B14.协同机制（7')</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加强校校协同、校企协同机制研究，探索建立协同运行模式</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积极参与共同体、协作体和联盟等，拓宽合作交流渠道，自觉承担相应职责、履行相关义务</w:t>
            </w:r>
          </w:p>
        </w:tc>
      </w:tr>
      <w:tr>
        <w:tblPrEx>
          <w:tblCellMar>
            <w:top w:w="0" w:type="dxa"/>
            <w:left w:w="108" w:type="dxa"/>
            <w:bottom w:w="0" w:type="dxa"/>
            <w:right w:w="108" w:type="dxa"/>
          </w:tblCellMar>
        </w:tblPrEx>
        <w:trPr>
          <w:trHeight w:val="75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B15.校校协同（7')</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团队在共同体框架下，围绕资源共享、师资培养培训、课题研究、协同创新以及教学改革等方面展开深度合作</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市级团队示范引领和辐射带动作用明显，促进各级团队组网融通、资源共建共享</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B16.校企协同（6')</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企业深度参与团队建设，能够为团队教师提供实践岗位，支持团队教师双师素质提升和专业发展</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团队与合作企业，实现学校资源和企业资源优势互补、共建共享共用</w:t>
            </w:r>
          </w:p>
        </w:tc>
      </w:tr>
      <w:tr>
        <w:tblPrEx>
          <w:tblCellMar>
            <w:top w:w="0" w:type="dxa"/>
            <w:left w:w="108" w:type="dxa"/>
            <w:bottom w:w="0" w:type="dxa"/>
            <w:right w:w="108" w:type="dxa"/>
          </w:tblCellMar>
        </w:tblPrEx>
        <w:trPr>
          <w:trHeight w:val="752" w:hRule="atLeast"/>
          <w:jc w:val="center"/>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A5.课程建设（30')</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B17.课程体系（11')</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开展行业企业调研，了解岗位需求和用人标准，明晰专业定位和人才培养规格，重构课程体系，修订人才培养方案</w:t>
            </w:r>
          </w:p>
        </w:tc>
      </w:tr>
      <w:tr>
        <w:tblPrEx>
          <w:tblCellMar>
            <w:top w:w="0" w:type="dxa"/>
            <w:left w:w="108" w:type="dxa"/>
            <w:bottom w:w="0" w:type="dxa"/>
            <w:right w:w="108" w:type="dxa"/>
          </w:tblCellMar>
        </w:tblPrEx>
        <w:trPr>
          <w:trHeight w:val="75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B18.课程标准（11')</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按照真实工作岗位和典型工作任务需要的知识和技能制定课程标准，把职业技能等级标准、技能大赛评判标准以及行业企业新技术、新工艺、新规范和企业优质培训课程等资源融入专业课程</w:t>
            </w:r>
          </w:p>
        </w:tc>
      </w:tr>
      <w:tr>
        <w:tblPrEx>
          <w:tblCellMar>
            <w:top w:w="0" w:type="dxa"/>
            <w:left w:w="108" w:type="dxa"/>
            <w:bottom w:w="0" w:type="dxa"/>
            <w:right w:w="108" w:type="dxa"/>
          </w:tblCellMar>
        </w:tblPrEx>
        <w:trPr>
          <w:trHeight w:val="75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研究制定模块化课程设置方案，按照人才培养目标，结合职业岗位（群）能力要求，开发和完善教学实施方案</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B19.课程资源（8')</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搭建课程平台，建设智能化教学支持环境下的课程资源</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校企双元开发相匹配的优质教材</w:t>
            </w:r>
          </w:p>
        </w:tc>
      </w:tr>
      <w:tr>
        <w:tblPrEx>
          <w:tblCellMar>
            <w:top w:w="0" w:type="dxa"/>
            <w:left w:w="108" w:type="dxa"/>
            <w:bottom w:w="0" w:type="dxa"/>
            <w:right w:w="108" w:type="dxa"/>
          </w:tblCellMar>
        </w:tblPrEx>
        <w:trPr>
          <w:trHeight w:val="752" w:hRule="atLeast"/>
          <w:jc w:val="center"/>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A6.模块化教学实施（40')</w:t>
            </w: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B20.教学组织（18')</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灵活运用行动导向教学、项目式教学、情境式教学等教学方法，重构教学流程，开展分工协作的模块化教学</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注重适用人工智能、大数据、虚拟现实等新技术丰富教学手段</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建立课程建设诊断与改进机制，不断迭代升级课堂教学</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B21.教学评价（10')</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建立模块化教学评价指标体系，形成多元教学评价方式</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信息化平台和数字化教学评价手段在模块化教学实施过程中有效应用</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B22.教学成效（12')</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教学方法改革成效明显，人才培养质量有所提升</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形成教研论文、优质教材、精品课程等教学成果</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不断总结教学改革的有益做法，形成可复制、可推广的典型案例</w:t>
            </w:r>
          </w:p>
        </w:tc>
      </w:tr>
      <w:tr>
        <w:tblPrEx>
          <w:tblCellMar>
            <w:top w:w="0" w:type="dxa"/>
            <w:left w:w="108" w:type="dxa"/>
            <w:bottom w:w="0" w:type="dxa"/>
            <w:right w:w="108" w:type="dxa"/>
          </w:tblCellMar>
        </w:tblPrEx>
        <w:trPr>
          <w:trHeight w:val="392" w:hRule="atLeast"/>
          <w:jc w:val="center"/>
        </w:trPr>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A7.特色创新及成果推广（20')</w:t>
            </w: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B23.团队建设成果（10')</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总结、凝练团队建设经验和教育教学改革创新成果</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示范引领学校“双师型”教师队伍和双师结构团队建设，积极向其他职业院校推广应用</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B24.成果宣传推广（5')</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通过学术论文、会议论坛、专题培训等方式系统地对团队建设及其教学创新成果进行宣传和推广</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深入挖掘先进经验和典型案例，积极在主流媒体宣传推广</w:t>
            </w:r>
          </w:p>
        </w:tc>
      </w:tr>
      <w:tr>
        <w:tblPrEx>
          <w:tblCellMar>
            <w:top w:w="0" w:type="dxa"/>
            <w:left w:w="108" w:type="dxa"/>
            <w:bottom w:w="0" w:type="dxa"/>
            <w:right w:w="108" w:type="dxa"/>
          </w:tblCellMar>
        </w:tblPrEx>
        <w:trPr>
          <w:trHeight w:val="392"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B25.国际交流与合作（5')</w:t>
            </w: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学习世界职业教育先进经验并进行本土化转化应用，拓宽团队教师的国际化视野</w:t>
            </w:r>
          </w:p>
        </w:tc>
      </w:tr>
      <w:tr>
        <w:tblPrEx>
          <w:tblCellMar>
            <w:top w:w="0" w:type="dxa"/>
            <w:left w:w="108" w:type="dxa"/>
            <w:bottom w:w="0" w:type="dxa"/>
            <w:right w:w="108" w:type="dxa"/>
          </w:tblCellMar>
        </w:tblPrEx>
        <w:trPr>
          <w:trHeight w:val="784" w:hRule="atLeast"/>
          <w:jc w:val="center"/>
        </w:trPr>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ascii="Times New Roman" w:hAnsi="Times New Roman" w:eastAsia="黑体" w:cs="Times New Roman"/>
                <w:color w:val="000000"/>
                <w:szCs w:val="21"/>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ascii="Times New Roman" w:hAnsi="Times New Roman" w:eastAsia="黑体" w:cs="Times New Roman"/>
                <w:color w:val="000000"/>
                <w:szCs w:val="21"/>
              </w:rPr>
            </w:pPr>
          </w:p>
        </w:tc>
        <w:tc>
          <w:tcPr>
            <w:tcW w:w="1050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color w:val="000000"/>
                <w:kern w:val="0"/>
                <w:szCs w:val="21"/>
                <w:lang w:bidi="ar"/>
              </w:rPr>
              <w:t>服务国家“一带一路”倡议，加强技术技能人才培养的国际合作，形成职业教育国际合作新范式，提升我国职业教育的国际影响力和竞争力</w:t>
            </w:r>
          </w:p>
        </w:tc>
      </w:tr>
    </w:tbl>
    <w:p>
      <w:pPr>
        <w:widowControl/>
        <w:ind w:firstLine="480" w:firstLineChars="200"/>
        <w:jc w:val="left"/>
        <w:textAlignment w:val="center"/>
        <w:rPr>
          <w:rFonts w:ascii="Times New Roman" w:hAnsi="Times New Roman" w:eastAsia="仿宋_GB2312" w:cs="Times New Roman"/>
          <w:color w:val="000000"/>
          <w:kern w:val="0"/>
          <w:sz w:val="24"/>
          <w:lang w:bidi="ar"/>
        </w:rPr>
      </w:pPr>
      <w:r>
        <w:rPr>
          <w:rFonts w:ascii="Times New Roman" w:hAnsi="Times New Roman" w:eastAsia="仿宋_GB2312" w:cs="Times New Roman"/>
          <w:color w:val="000000"/>
          <w:kern w:val="0"/>
          <w:sz w:val="24"/>
          <w:lang w:bidi="ar"/>
        </w:rPr>
        <w:t>备注：总分200分，得分为120分以下为不合格，120-140分为合格，140-160分为良好，160分以上为优秀。</w:t>
      </w:r>
    </w:p>
    <w:p>
      <w:pPr>
        <w:pStyle w:val="2"/>
        <w:spacing w:line="360" w:lineRule="auto"/>
        <w:rPr>
          <w:rFonts w:ascii="Times New Roman" w:hAnsi="Times New Roman" w:eastAsia="方正仿宋_GBK" w:cs="Times New Roman"/>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zOTk4ZDcyOGEwYmMwODI1YmFkYjY4MjVmZGFhNTgifQ=="/>
    <w:docVar w:name="KSO_WPS_MARK_KEY" w:val="6805dfdc-f850-4693-8d67-fffd28d24c0c"/>
  </w:docVars>
  <w:rsids>
    <w:rsidRoot w:val="59E625BE"/>
    <w:rsid w:val="59E625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2483</Words>
  <Characters>2663</Characters>
  <Lines>0</Lines>
  <Paragraphs>0</Paragraphs>
  <TotalTime>0</TotalTime>
  <ScaleCrop>false</ScaleCrop>
  <LinksUpToDate>false</LinksUpToDate>
  <CharactersWithSpaces>2663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2024-11-02T14:00:00Z</dcterms:created>
  <dc:creator>my</dc:creator>
  <cp:lastModifiedBy>my</cp:lastModifiedBy>
  <dcterms:modified xsi:type="dcterms:W3CDTF">2024-11-02T14:00:32Z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38DEFD0573A34162AEFAFEB8B3998F1E_11</vt:lpwstr>
  </property>
</Properties>
</file>