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46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2"/>
        <w:gridCol w:w="1295"/>
        <w:gridCol w:w="1480"/>
        <w:gridCol w:w="1387"/>
        <w:gridCol w:w="2254"/>
        <w:gridCol w:w="6293"/>
        <w:gridCol w:w="1266"/>
      </w:tblGrid>
      <w:tr w14:paraId="75B7C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3" w:hRule="atLeast"/>
          <w:jc w:val="center"/>
        </w:trPr>
        <w:tc>
          <w:tcPr>
            <w:tcW w:w="14677" w:type="dxa"/>
            <w:gridSpan w:val="7"/>
            <w:tcBorders>
              <w:top w:val="nil"/>
              <w:left w:val="nil"/>
              <w:bottom w:val="single" w:color="auto" w:sz="4" w:space="0"/>
              <w:right w:val="nil"/>
            </w:tcBorders>
            <w:noWrap w:val="0"/>
            <w:vAlign w:val="center"/>
          </w:tcPr>
          <w:p w14:paraId="0730FF72">
            <w:pPr>
              <w:keepNext w:val="0"/>
              <w:keepLines w:val="0"/>
              <w:widowControl/>
              <w:suppressLineNumbers w:val="0"/>
              <w:jc w:val="both"/>
              <w:textAlignment w:val="center"/>
              <w:rPr>
                <w:rFonts w:hint="eastAsia" w:ascii="方正黑体_GBK" w:hAnsi="方正黑体_GBK" w:eastAsia="方正黑体_GBK" w:cs="方正黑体_GBK"/>
                <w:i w:val="0"/>
                <w:iCs w:val="0"/>
                <w:color w:val="000000"/>
                <w:kern w:val="0"/>
                <w:sz w:val="32"/>
                <w:szCs w:val="32"/>
                <w:u w:val="none"/>
                <w:lang w:val="en-US" w:eastAsia="zh-CN" w:bidi="ar"/>
              </w:rPr>
            </w:pPr>
            <w:r>
              <w:rPr>
                <w:rFonts w:hint="eastAsia" w:ascii="方正黑体_GBK" w:hAnsi="方正黑体_GBK" w:eastAsia="方正黑体_GBK" w:cs="方正黑体_GBK"/>
                <w:i w:val="0"/>
                <w:iCs w:val="0"/>
                <w:color w:val="000000"/>
                <w:kern w:val="0"/>
                <w:sz w:val="32"/>
                <w:szCs w:val="32"/>
                <w:u w:val="none"/>
                <w:lang w:val="en-US" w:eastAsia="zh-CN" w:bidi="ar"/>
              </w:rPr>
              <w:t>附件</w:t>
            </w:r>
          </w:p>
          <w:p w14:paraId="3767511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40"/>
                <w:szCs w:val="40"/>
                <w:u w:val="none"/>
              </w:rPr>
            </w:pPr>
            <w:r>
              <w:rPr>
                <w:rFonts w:hint="default" w:ascii="Times New Roman" w:hAnsi="Times New Roman" w:eastAsia="方正小标宋_GBK" w:cs="Times New Roman"/>
                <w:i w:val="0"/>
                <w:iCs w:val="0"/>
                <w:color w:val="000000"/>
                <w:kern w:val="0"/>
                <w:sz w:val="44"/>
                <w:szCs w:val="44"/>
                <w:u w:val="none"/>
                <w:lang w:val="en-US" w:eastAsia="zh-CN" w:bidi="ar"/>
              </w:rPr>
              <w:t>2019年度立项逾期未结题课题拟撤项名单</w:t>
            </w:r>
          </w:p>
        </w:tc>
      </w:tr>
      <w:tr w14:paraId="294B3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auto" w:sz="4" w:space="0"/>
              <w:left w:val="single" w:color="000000" w:sz="4" w:space="0"/>
              <w:bottom w:val="single" w:color="000000" w:sz="4" w:space="0"/>
              <w:right w:val="single" w:color="000000" w:sz="4" w:space="0"/>
            </w:tcBorders>
            <w:noWrap/>
            <w:vAlign w:val="center"/>
          </w:tcPr>
          <w:p w14:paraId="446D841A">
            <w:pPr>
              <w:keepNext w:val="0"/>
              <w:keepLines w:val="0"/>
              <w:widowControl/>
              <w:suppressLineNumbers w:val="0"/>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序号</w:t>
            </w:r>
          </w:p>
        </w:tc>
        <w:tc>
          <w:tcPr>
            <w:tcW w:w="1295" w:type="dxa"/>
            <w:tcBorders>
              <w:top w:val="single" w:color="auto" w:sz="4" w:space="0"/>
              <w:left w:val="single" w:color="000000" w:sz="4" w:space="0"/>
              <w:bottom w:val="single" w:color="000000" w:sz="4" w:space="0"/>
              <w:right w:val="single" w:color="000000" w:sz="4" w:space="0"/>
            </w:tcBorders>
            <w:noWrap w:val="0"/>
            <w:vAlign w:val="center"/>
          </w:tcPr>
          <w:p w14:paraId="232931F2">
            <w:pPr>
              <w:keepNext w:val="0"/>
              <w:keepLines w:val="0"/>
              <w:widowControl/>
              <w:suppressLineNumbers w:val="0"/>
              <w:jc w:val="center"/>
              <w:textAlignment w:val="center"/>
              <w:rPr>
                <w:rFonts w:hint="default" w:ascii="Times New Roman" w:hAnsi="Times New Roman" w:eastAsia="方正仿宋_GBK" w:cs="Times New Roman"/>
                <w:b/>
                <w:bCs/>
                <w:i w:val="0"/>
                <w:iCs w:val="0"/>
                <w:color w:val="000000"/>
                <w:sz w:val="20"/>
                <w:szCs w:val="20"/>
                <w:u w:val="none"/>
              </w:rPr>
            </w:pPr>
            <w:r>
              <w:rPr>
                <w:rFonts w:hint="default" w:ascii="Times New Roman" w:hAnsi="Times New Roman" w:eastAsia="方正仿宋_GBK" w:cs="Times New Roman"/>
                <w:b/>
                <w:bCs/>
                <w:i w:val="0"/>
                <w:iCs w:val="0"/>
                <w:color w:val="000000"/>
                <w:kern w:val="0"/>
                <w:sz w:val="20"/>
                <w:szCs w:val="20"/>
                <w:u w:val="none"/>
                <w:lang w:val="en-US" w:eastAsia="zh-CN" w:bidi="ar"/>
              </w:rPr>
              <w:t>高校区县</w:t>
            </w:r>
          </w:p>
        </w:tc>
        <w:tc>
          <w:tcPr>
            <w:tcW w:w="1480" w:type="dxa"/>
            <w:tcBorders>
              <w:top w:val="single" w:color="auto" w:sz="4" w:space="0"/>
              <w:left w:val="single" w:color="000000" w:sz="4" w:space="0"/>
              <w:bottom w:val="single" w:color="000000" w:sz="4" w:space="0"/>
              <w:right w:val="single" w:color="000000" w:sz="4" w:space="0"/>
            </w:tcBorders>
            <w:noWrap w:val="0"/>
            <w:vAlign w:val="center"/>
          </w:tcPr>
          <w:p w14:paraId="55E35A69">
            <w:pPr>
              <w:keepNext w:val="0"/>
              <w:keepLines w:val="0"/>
              <w:widowControl/>
              <w:suppressLineNumbers w:val="0"/>
              <w:jc w:val="center"/>
              <w:textAlignment w:val="center"/>
              <w:rPr>
                <w:rFonts w:hint="default" w:ascii="Times New Roman" w:hAnsi="Times New Roman" w:eastAsia="方正仿宋_GBK" w:cs="Times New Roman"/>
                <w:b/>
                <w:bCs/>
                <w:i w:val="0"/>
                <w:iCs w:val="0"/>
                <w:color w:val="000000"/>
                <w:sz w:val="20"/>
                <w:szCs w:val="20"/>
                <w:u w:val="none"/>
              </w:rPr>
            </w:pPr>
            <w:r>
              <w:rPr>
                <w:rFonts w:hint="default" w:ascii="Times New Roman" w:hAnsi="Times New Roman" w:eastAsia="方正仿宋_GBK" w:cs="Times New Roman"/>
                <w:b/>
                <w:bCs/>
                <w:i w:val="0"/>
                <w:iCs w:val="0"/>
                <w:color w:val="000000"/>
                <w:kern w:val="0"/>
                <w:sz w:val="20"/>
                <w:szCs w:val="20"/>
                <w:u w:val="none"/>
                <w:lang w:val="en-US" w:eastAsia="zh-CN" w:bidi="ar"/>
              </w:rPr>
              <w:t>课题编号</w:t>
            </w:r>
          </w:p>
        </w:tc>
        <w:tc>
          <w:tcPr>
            <w:tcW w:w="1387" w:type="dxa"/>
            <w:tcBorders>
              <w:top w:val="single" w:color="auto" w:sz="4" w:space="0"/>
              <w:left w:val="single" w:color="000000" w:sz="4" w:space="0"/>
              <w:bottom w:val="single" w:color="000000" w:sz="4" w:space="0"/>
              <w:right w:val="single" w:color="000000" w:sz="4" w:space="0"/>
            </w:tcBorders>
            <w:noWrap w:val="0"/>
            <w:vAlign w:val="center"/>
          </w:tcPr>
          <w:p w14:paraId="756A1CA2">
            <w:pPr>
              <w:keepNext w:val="0"/>
              <w:keepLines w:val="0"/>
              <w:widowControl/>
              <w:suppressLineNumbers w:val="0"/>
              <w:jc w:val="center"/>
              <w:textAlignment w:val="center"/>
              <w:rPr>
                <w:rFonts w:hint="default" w:ascii="Times New Roman" w:hAnsi="Times New Roman" w:eastAsia="方正仿宋_GBK" w:cs="Times New Roman"/>
                <w:b/>
                <w:bCs/>
                <w:i w:val="0"/>
                <w:iCs w:val="0"/>
                <w:color w:val="000000"/>
                <w:sz w:val="20"/>
                <w:szCs w:val="20"/>
                <w:u w:val="none"/>
              </w:rPr>
            </w:pPr>
            <w:r>
              <w:rPr>
                <w:rFonts w:hint="default" w:ascii="Times New Roman" w:hAnsi="Times New Roman" w:eastAsia="方正仿宋_GBK" w:cs="Times New Roman"/>
                <w:b/>
                <w:bCs/>
                <w:i w:val="0"/>
                <w:iCs w:val="0"/>
                <w:color w:val="000000"/>
                <w:kern w:val="0"/>
                <w:sz w:val="20"/>
                <w:szCs w:val="20"/>
                <w:u w:val="none"/>
                <w:lang w:val="en-US" w:eastAsia="zh-CN" w:bidi="ar"/>
              </w:rPr>
              <w:t>课题类别</w:t>
            </w:r>
          </w:p>
        </w:tc>
        <w:tc>
          <w:tcPr>
            <w:tcW w:w="2254" w:type="dxa"/>
            <w:tcBorders>
              <w:top w:val="single" w:color="auto" w:sz="4" w:space="0"/>
              <w:left w:val="single" w:color="000000" w:sz="4" w:space="0"/>
              <w:bottom w:val="single" w:color="000000" w:sz="4" w:space="0"/>
              <w:right w:val="single" w:color="000000" w:sz="4" w:space="0"/>
            </w:tcBorders>
            <w:noWrap w:val="0"/>
            <w:vAlign w:val="center"/>
          </w:tcPr>
          <w:p w14:paraId="3A803D98">
            <w:pPr>
              <w:keepNext w:val="0"/>
              <w:keepLines w:val="0"/>
              <w:widowControl/>
              <w:suppressLineNumbers w:val="0"/>
              <w:jc w:val="center"/>
              <w:textAlignment w:val="center"/>
              <w:rPr>
                <w:rFonts w:hint="default" w:ascii="Times New Roman" w:hAnsi="Times New Roman" w:eastAsia="方正仿宋_GBK" w:cs="Times New Roman"/>
                <w:b/>
                <w:bCs/>
                <w:i w:val="0"/>
                <w:iCs w:val="0"/>
                <w:color w:val="000000"/>
                <w:sz w:val="20"/>
                <w:szCs w:val="20"/>
                <w:u w:val="none"/>
              </w:rPr>
            </w:pPr>
            <w:r>
              <w:rPr>
                <w:rFonts w:hint="default" w:ascii="Times New Roman" w:hAnsi="Times New Roman" w:eastAsia="方正仿宋_GBK" w:cs="Times New Roman"/>
                <w:b/>
                <w:bCs/>
                <w:i w:val="0"/>
                <w:iCs w:val="0"/>
                <w:color w:val="000000"/>
                <w:kern w:val="0"/>
                <w:sz w:val="20"/>
                <w:szCs w:val="20"/>
                <w:u w:val="none"/>
                <w:lang w:val="en-US" w:eastAsia="zh-CN" w:bidi="ar"/>
              </w:rPr>
              <w:t>单位名称</w:t>
            </w:r>
          </w:p>
        </w:tc>
        <w:tc>
          <w:tcPr>
            <w:tcW w:w="6293" w:type="dxa"/>
            <w:tcBorders>
              <w:top w:val="single" w:color="auto" w:sz="4" w:space="0"/>
              <w:left w:val="single" w:color="000000" w:sz="4" w:space="0"/>
              <w:bottom w:val="single" w:color="000000" w:sz="4" w:space="0"/>
              <w:right w:val="single" w:color="000000" w:sz="4" w:space="0"/>
            </w:tcBorders>
            <w:noWrap w:val="0"/>
            <w:vAlign w:val="center"/>
          </w:tcPr>
          <w:p w14:paraId="3DCB1A98">
            <w:pPr>
              <w:keepNext w:val="0"/>
              <w:keepLines w:val="0"/>
              <w:widowControl/>
              <w:suppressLineNumbers w:val="0"/>
              <w:jc w:val="center"/>
              <w:textAlignment w:val="center"/>
              <w:rPr>
                <w:rFonts w:hint="default" w:ascii="Times New Roman" w:hAnsi="Times New Roman" w:eastAsia="方正仿宋_GBK" w:cs="Times New Roman"/>
                <w:b/>
                <w:bCs/>
                <w:i w:val="0"/>
                <w:iCs w:val="0"/>
                <w:color w:val="000000"/>
                <w:sz w:val="20"/>
                <w:szCs w:val="20"/>
                <w:u w:val="none"/>
              </w:rPr>
            </w:pPr>
            <w:r>
              <w:rPr>
                <w:rFonts w:hint="default" w:ascii="Times New Roman" w:hAnsi="Times New Roman" w:eastAsia="方正仿宋_GBK" w:cs="Times New Roman"/>
                <w:b/>
                <w:bCs/>
                <w:i w:val="0"/>
                <w:iCs w:val="0"/>
                <w:color w:val="000000"/>
                <w:kern w:val="0"/>
                <w:sz w:val="20"/>
                <w:szCs w:val="20"/>
                <w:u w:val="none"/>
                <w:lang w:val="en-US" w:eastAsia="zh-CN" w:bidi="ar"/>
              </w:rPr>
              <w:t>课题名称</w:t>
            </w:r>
          </w:p>
        </w:tc>
        <w:tc>
          <w:tcPr>
            <w:tcW w:w="1266" w:type="dxa"/>
            <w:tcBorders>
              <w:top w:val="single" w:color="auto" w:sz="4" w:space="0"/>
              <w:left w:val="single" w:color="000000" w:sz="4" w:space="0"/>
              <w:bottom w:val="single" w:color="000000" w:sz="4" w:space="0"/>
              <w:right w:val="single" w:color="000000" w:sz="4" w:space="0"/>
            </w:tcBorders>
            <w:noWrap w:val="0"/>
            <w:vAlign w:val="center"/>
          </w:tcPr>
          <w:p w14:paraId="0348F153">
            <w:pPr>
              <w:keepNext w:val="0"/>
              <w:keepLines w:val="0"/>
              <w:widowControl/>
              <w:suppressLineNumbers w:val="0"/>
              <w:jc w:val="center"/>
              <w:textAlignment w:val="center"/>
              <w:rPr>
                <w:rFonts w:hint="default" w:ascii="Times New Roman" w:hAnsi="Times New Roman" w:eastAsia="方正仿宋_GBK" w:cs="Times New Roman"/>
                <w:b/>
                <w:bCs/>
                <w:i w:val="0"/>
                <w:iCs w:val="0"/>
                <w:color w:val="000000"/>
                <w:sz w:val="20"/>
                <w:szCs w:val="20"/>
                <w:u w:val="none"/>
              </w:rPr>
            </w:pPr>
            <w:r>
              <w:rPr>
                <w:rFonts w:hint="default" w:ascii="Times New Roman" w:hAnsi="Times New Roman" w:eastAsia="方正仿宋_GBK" w:cs="Times New Roman"/>
                <w:b/>
                <w:bCs/>
                <w:i w:val="0"/>
                <w:iCs w:val="0"/>
                <w:color w:val="000000"/>
                <w:kern w:val="0"/>
                <w:sz w:val="20"/>
                <w:szCs w:val="20"/>
                <w:u w:val="none"/>
                <w:lang w:val="en-US" w:eastAsia="zh-CN" w:bidi="ar"/>
              </w:rPr>
              <w:t>课题负责人</w:t>
            </w:r>
          </w:p>
        </w:tc>
      </w:tr>
      <w:tr w14:paraId="7AD23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31A00D0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5034D03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0806BDB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2019-GX-001</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193F498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重点有经费</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55EE4FC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西南大学</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716334DD">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小学生音乐核心素养评价指标体系构建及教学应用研究</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4CEBC6D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祝彬</w:t>
            </w:r>
          </w:p>
        </w:tc>
      </w:tr>
      <w:tr w14:paraId="069C8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0E7C2C2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7A24EBE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766FB73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2019-GX-003</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21808CF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重点有经费</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495CD15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西南大学</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4BDADB5E">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“一带一路”背景下高等职业教育开放办学的发展战略与协同路径研究</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2BA8957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杨甜</w:t>
            </w:r>
          </w:p>
        </w:tc>
      </w:tr>
      <w:tr w14:paraId="4B230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35B3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0B2D5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高职</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DFD6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2019-GX-039</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7C5AA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重点有经费</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1B9AF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重庆城市管理职业学院</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BEC463">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重庆农村职业教育质量评估及提升研究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B4B23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赵丽霞</w:t>
            </w:r>
          </w:p>
        </w:tc>
      </w:tr>
      <w:tr w14:paraId="5028E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D9E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BA9A1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高职</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AAC4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2019-GX-047</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9BA2E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重点有经费</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DABF4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重庆青年职业技术学院</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AE6407">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“一带一路”倡议下重庆高职院校的国际化发展：现状、功能与路径</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5A3B9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黄蕾</w:t>
            </w:r>
          </w:p>
        </w:tc>
      </w:tr>
      <w:tr w14:paraId="0F96A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009D79A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5</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6AAD8E7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直属单位</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5BA8511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2019-00-054</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08FECEA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重点有经费</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2DB6D54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重庆市教育科学研究院</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2CAAD6C8">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中小学劳动教育课程整合的实践模式研究</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58332B8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刘春</w:t>
            </w:r>
          </w:p>
        </w:tc>
      </w:tr>
      <w:tr w14:paraId="134C2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6B7E9BA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6</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3AA0138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704F18D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2019-GX-096</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1F4B11F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重点无经费</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703204F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重庆邮电大学</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4817EE33">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面向习近平经济思想的高校经济学课程教学内容体系构建研究</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246C6AA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樊自甫</w:t>
            </w:r>
          </w:p>
        </w:tc>
      </w:tr>
      <w:tr w14:paraId="2FB13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0702025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7</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0E2AD40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3A215B7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2019-GX-097</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6D904C7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重点无经费</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574CABA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重庆邮电大学</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335F7E0A">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情绪对学生创造性思维的影响研究</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7DF3AD6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符明秋</w:t>
            </w:r>
          </w:p>
        </w:tc>
      </w:tr>
      <w:tr w14:paraId="26572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2C4DE6D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8</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37F879F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59553CB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2019-GX-098</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024ADBD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重点无经费</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4AFFBF9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重庆交通大学</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6201D634">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“一带一路”沿线国家高等教育合作评价指标体系研究</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742E1B0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彭秀芳</w:t>
            </w:r>
          </w:p>
        </w:tc>
      </w:tr>
      <w:tr w14:paraId="20462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AA2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9</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8ADF0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B905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2019-GX-107</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F1EF3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重点无经费</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8577E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重庆师范大学</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5523F7">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唐氏综合征学生言语不一致的特征与干预研究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064CC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熊利平</w:t>
            </w:r>
          </w:p>
        </w:tc>
      </w:tr>
      <w:tr w14:paraId="570BE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FB2D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10</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A05C0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45DE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2019-GX-113</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CAF36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重点无经费</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188F9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重庆工商大学</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2C772C">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基于Co-op的MPAcc教育PDCA循环的自我诊断与改进策略研究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D926F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赵青华</w:t>
            </w:r>
          </w:p>
        </w:tc>
      </w:tr>
      <w:tr w14:paraId="0485F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4304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11</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0875E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CB16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2019-GX-122</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E5941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重点无经费</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03CAE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重庆医科大学</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1D17FF">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可视化技术在临床麻醉实践教学中的应用及评价</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5174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李晓霞</w:t>
            </w:r>
          </w:p>
        </w:tc>
      </w:tr>
      <w:tr w14:paraId="2B67E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746D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12</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7C34C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E6BD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2019-GX-124</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348C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重点无经费</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864A6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重庆理工大学</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03A173">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新工科背景下创新创业教育与工科专业教育深度融合模式研究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75F63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吴朝彦</w:t>
            </w:r>
          </w:p>
        </w:tc>
      </w:tr>
      <w:tr w14:paraId="0E14E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FF56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13</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CD4D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BE4ED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2019-GX-125</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9CB7F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重点无经费</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81366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重庆理工大学</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C9948">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基于地方高校教师差序化发展的分类评价体系与实证研究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F0A74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肖蕙蕙</w:t>
            </w:r>
          </w:p>
        </w:tc>
      </w:tr>
      <w:tr w14:paraId="14605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5527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14</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AB415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E7556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2019-GX-126</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3F525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重点无经费</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64745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重庆理工大学</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785098">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整合策略对小学低年级学生记忆效果的促进作用：一项ERP研究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8B5A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王余娟</w:t>
            </w:r>
          </w:p>
        </w:tc>
      </w:tr>
      <w:tr w14:paraId="7497A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D14A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15</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D6BDA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2E875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2019-GX-146</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F6D64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重点无经费</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524B2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重庆文理学院</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A7DF9E">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习近平传统文化观融入中小学德育研究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E298E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刘光明</w:t>
            </w:r>
          </w:p>
        </w:tc>
      </w:tr>
      <w:tr w14:paraId="1201D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E67A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16</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01940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39CD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2019-GX-150</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4864B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重点无经费</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1D63C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重庆科技大学</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83A9CE">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青少年友善品德培育机制实证研究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5C16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张琪</w:t>
            </w:r>
          </w:p>
        </w:tc>
      </w:tr>
      <w:tr w14:paraId="57F24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1B9B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17</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42217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高职</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3BE7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2019-GX-190</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415BE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重点无经费</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F34DE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重庆机电职业技术大学</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1EC564">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本科层次职业学校现代学徒制路演机制研究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A981B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王秀模</w:t>
            </w:r>
          </w:p>
        </w:tc>
      </w:tr>
      <w:tr w14:paraId="08F11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6350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18</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C16E8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高职</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C23B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2019-GX-191</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6A0F2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重点无经费</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8AFBB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重庆机电职业技术大学</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00D61D">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新工科专业人才培养质量评价体系研究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FA286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王晋华</w:t>
            </w:r>
          </w:p>
        </w:tc>
      </w:tr>
      <w:tr w14:paraId="14D84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E894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19</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E7344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高职</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2144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2019-GX-205</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5A4E0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重点无经费</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64F3A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重庆幼儿师范高等专科学校</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E6585B">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内涵式发展视域下高职高专学生的教育经历满意度研究——以重庆市为例</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4DB79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陈冬梅</w:t>
            </w:r>
          </w:p>
        </w:tc>
      </w:tr>
      <w:tr w14:paraId="68D14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380284C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20</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560AA29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巫山县</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3F5F57C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2019-33-292</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04001AF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重点无经费</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64BA2E7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巫山县朝阳小学</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0DE0CD62">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农村微型学校家庭式课堂教学模式的实践研究</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002C9A9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李忠平</w:t>
            </w:r>
          </w:p>
        </w:tc>
      </w:tr>
      <w:tr w14:paraId="5F7A3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398C609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21</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084A7E7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万盛经开区</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19C925A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2019-40-305</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7796F4A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重点无经费</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548DEA6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万盛经开区和平小学</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5C587679">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区域教育共同体建设的实践与研究</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0E59931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张程铭</w:t>
            </w:r>
          </w:p>
        </w:tc>
      </w:tr>
      <w:tr w14:paraId="5202A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23EA5AB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22</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0C542AC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23D16D7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2019-GX-306</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646F397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308ACCF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西南大学</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60A6F729">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面向碎片化学习的生态型智慧教学平台构建研究</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6855960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漆月</w:t>
            </w:r>
          </w:p>
        </w:tc>
      </w:tr>
      <w:tr w14:paraId="1EE5A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7BCEA3B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23</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0544637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637A2DC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2019-GX-324</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17CC331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11ED2E3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重庆交通大学</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27A48CA9">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大数据时代下重庆市大学生体育风险预防机制与实施路径研究</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4842BDA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何秋鸿</w:t>
            </w:r>
          </w:p>
        </w:tc>
      </w:tr>
      <w:tr w14:paraId="567A0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291AF1B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24</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6E85B6F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697D6E8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2019-GX-328</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46F2F02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625E54A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重庆师范大学</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51D52F07">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重庆市乡村振兴与农村学校改革协同发展对策研究</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1094789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卢俊勇</w:t>
            </w:r>
          </w:p>
        </w:tc>
      </w:tr>
      <w:tr w14:paraId="0882D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709E576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25</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4A1F24F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179662D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2019-GX-330</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57E644C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5775C69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重庆师范大学</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61E83121">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高校共青团促进大学生创新创业模式研究--以重庆市为例</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0465DE2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向薪蓉</w:t>
            </w:r>
          </w:p>
        </w:tc>
      </w:tr>
      <w:tr w14:paraId="5D3D8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20351DB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26</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54C59EE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0D53316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2019-GX-351</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362C408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1FEA1AB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重庆工商大学</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41235081">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高校学生安全动漫创作与传播产学研协同创新研究</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7DDADD3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冯元章</w:t>
            </w:r>
          </w:p>
        </w:tc>
      </w:tr>
      <w:tr w14:paraId="4F487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0AC40A1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27</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59EA64C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7F61CFD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2019-GX-409</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2F08D96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507AEBD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长江师范学院</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1AA1894D">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中泰比较视角下泰国学前教育母语教材研究</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7E010A0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张江元</w:t>
            </w:r>
          </w:p>
        </w:tc>
      </w:tr>
      <w:tr w14:paraId="271A3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38B2B52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28</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562EF88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6A50FB0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2019-GX-413</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54DE63C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6D9CB05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长江师范学院</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303695D3">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经济新常态背景下我国应用型本科院校创新创业教育体系研究</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5D14D1F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杨玉兰</w:t>
            </w:r>
          </w:p>
        </w:tc>
      </w:tr>
      <w:tr w14:paraId="3630F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49F3112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29</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741C586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652EC32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2019-GX-415</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1962040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5B36DC5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长江师范学院</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6C9DBFB5">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高校教师公共性理论建构与实践探索</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21FDE80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张天泰</w:t>
            </w:r>
          </w:p>
        </w:tc>
      </w:tr>
      <w:tr w14:paraId="416F3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41D84E4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30</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30D2786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1FEF745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2019-GX-416</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7334FAC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2472529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长江师范学院</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02E3F458">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课程思政理念融入英语专业课堂教学的探索与实践</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7B954ED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何远秀</w:t>
            </w:r>
          </w:p>
        </w:tc>
      </w:tr>
      <w:tr w14:paraId="060E0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765508A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31</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53E4A10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35D8D71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2019-GX-460</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2AF3A37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337543F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重庆工商大学派斯学院</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632C3D5B">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应用型财经本科高校深度产教融合路径的探索与实践</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63EF406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陈勇阳</w:t>
            </w:r>
          </w:p>
        </w:tc>
      </w:tr>
      <w:tr w14:paraId="7CF55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7B5F23C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32</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04BBD12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603B9A7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2019-GX-465</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1699EFE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750C2D4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重庆财经学院</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5745FBDC">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基于在线数据的重庆市高校会计类本科专业人才供求分析及培养模式改革研究</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1BE032F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罗萍</w:t>
            </w:r>
          </w:p>
        </w:tc>
      </w:tr>
      <w:tr w14:paraId="4865C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3CC5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33</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755C5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本科</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1CC2E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2019-GX-468</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862FE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2B144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重庆财经学院</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00C95">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基于重庆外贸产业转型升级发展的人才培养适应性研究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75C34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胡文静</w:t>
            </w:r>
          </w:p>
        </w:tc>
      </w:tr>
      <w:tr w14:paraId="0DB0C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D888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34</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854D7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高职</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7520D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2019-GX-496</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6D1E5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BDBAB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重庆城市管理职业学院</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B28616">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SPOC混合式教学在理实一体课程中的实效研究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7C79C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何必繁</w:t>
            </w:r>
          </w:p>
        </w:tc>
      </w:tr>
      <w:tr w14:paraId="71D73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06CA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35</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24DD5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高职</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B760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2019-GX-506</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EC14A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C9120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重庆电子科技大学</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28DDC">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大数据时代下大学生思想政治教育1368智慧管理模式研究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29A2B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何光明</w:t>
            </w:r>
          </w:p>
        </w:tc>
      </w:tr>
      <w:tr w14:paraId="5A117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2177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36</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F56AF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高职</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0A1BA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2019-GX-523</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C9E37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9F594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重庆工商职业学院</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DD882F">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1+X证书背景下现代土建高职人才培养模式新构架的研究与实践</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B3791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林昕</w:t>
            </w:r>
          </w:p>
        </w:tc>
      </w:tr>
      <w:tr w14:paraId="5349C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D3E3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37</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E8A22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高职</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3BE0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2019-GX-524</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CA31B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03B7A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重庆工商职业学院</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E487BF">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合作博弈视角下高职院校产教融合型生产性实训基地协同机制研究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5BE04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杨黎霞</w:t>
            </w:r>
          </w:p>
        </w:tc>
      </w:tr>
      <w:tr w14:paraId="0FA00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6546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38</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9BF75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高职</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EBAAC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2019-GX-529</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22252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55DE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重庆工商职业学院</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5E2410">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基于人本数据的高职院校内部质量诊改模式创新研究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ECB76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赵旻</w:t>
            </w:r>
          </w:p>
        </w:tc>
      </w:tr>
      <w:tr w14:paraId="43E9A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5AAE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39</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919C6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高职</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2EC8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2019-GX-531</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0FE1A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1CBE4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重庆工商职业学院</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C3520A">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混合学习实施效果的影响因素及其作用机制研究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BA4E5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胡方霞</w:t>
            </w:r>
          </w:p>
        </w:tc>
      </w:tr>
      <w:tr w14:paraId="4C878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E305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40</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BF473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高职</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211F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2019-GX-542</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89258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BF58F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重庆科创职业学院</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E9E44E">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智能制造背景下高职电气自动化专业人才培养模式改革与实践研究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7D0D0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杨代强</w:t>
            </w:r>
          </w:p>
        </w:tc>
      </w:tr>
      <w:tr w14:paraId="7A65F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3EB4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41</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112C5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高职</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BEAE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2019-GX-544</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B4AF1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7725A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重庆科创职业学院</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BC934B">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基于混合式教学的高职课程《人力资源管理实务》“职场化”改革与实践研究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1ED3C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张海燕</w:t>
            </w:r>
          </w:p>
        </w:tc>
      </w:tr>
      <w:tr w14:paraId="42933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4FEC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42</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9A66B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璧山区</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7BE2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2019-23-771</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560D3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DDDC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重庆市璧山区文风小学</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FB0C16">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核心素养视域下的小学生数学实践活动研究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9935C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廖丹丹</w:t>
            </w:r>
          </w:p>
        </w:tc>
      </w:tr>
      <w:tr w14:paraId="3EA8B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D964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43</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73BD3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璧山区</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5132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2019-23-780</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800A2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97835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重庆市璧山区城北小学</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AE0203">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小学语文教学中渗透立德树人的途径研究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43621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何代祥</w:t>
            </w:r>
          </w:p>
        </w:tc>
      </w:tr>
      <w:tr w14:paraId="771C3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0DA4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44</w:t>
            </w:r>
          </w:p>
        </w:tc>
        <w:tc>
          <w:tcPr>
            <w:tcW w:w="12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1BB22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忠县</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7244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2019-29-804</w:t>
            </w: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BC63B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14024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忠县教育科学研究所</w:t>
            </w:r>
          </w:p>
        </w:tc>
        <w:tc>
          <w:tcPr>
            <w:tcW w:w="629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34F9D0">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小学生数学阅读能力培养的研究</w:t>
            </w:r>
          </w:p>
        </w:tc>
        <w:tc>
          <w:tcPr>
            <w:tcW w:w="12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339F1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范艳华</w:t>
            </w:r>
          </w:p>
        </w:tc>
      </w:tr>
      <w:tr w14:paraId="79E39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73204C6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45</w:t>
            </w:r>
          </w:p>
        </w:tc>
        <w:tc>
          <w:tcPr>
            <w:tcW w:w="1295" w:type="dxa"/>
            <w:tcBorders>
              <w:top w:val="single" w:color="000000" w:sz="4" w:space="0"/>
              <w:left w:val="single" w:color="000000" w:sz="4" w:space="0"/>
              <w:bottom w:val="single" w:color="000000" w:sz="4" w:space="0"/>
              <w:right w:val="single" w:color="000000" w:sz="4" w:space="0"/>
            </w:tcBorders>
            <w:noWrap w:val="0"/>
            <w:vAlign w:val="center"/>
          </w:tcPr>
          <w:p w14:paraId="2E71AEB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万盛经开区</w:t>
            </w:r>
          </w:p>
        </w:tc>
        <w:tc>
          <w:tcPr>
            <w:tcW w:w="1480" w:type="dxa"/>
            <w:tcBorders>
              <w:top w:val="single" w:color="000000" w:sz="4" w:space="0"/>
              <w:left w:val="single" w:color="000000" w:sz="4" w:space="0"/>
              <w:bottom w:val="single" w:color="000000" w:sz="4" w:space="0"/>
              <w:right w:val="single" w:color="000000" w:sz="4" w:space="0"/>
            </w:tcBorders>
            <w:noWrap w:val="0"/>
            <w:vAlign w:val="center"/>
          </w:tcPr>
          <w:p w14:paraId="39D46AD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2019-40-839</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14A2C2E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一般课题</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14:paraId="03A5BE1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进盛实验中学</w:t>
            </w:r>
          </w:p>
        </w:tc>
        <w:tc>
          <w:tcPr>
            <w:tcW w:w="6293" w:type="dxa"/>
            <w:tcBorders>
              <w:top w:val="single" w:color="000000" w:sz="4" w:space="0"/>
              <w:left w:val="single" w:color="000000" w:sz="4" w:space="0"/>
              <w:bottom w:val="single" w:color="000000" w:sz="4" w:space="0"/>
              <w:right w:val="single" w:color="000000" w:sz="4" w:space="0"/>
            </w:tcBorders>
            <w:noWrap w:val="0"/>
            <w:vAlign w:val="center"/>
          </w:tcPr>
          <w:p w14:paraId="4119781E">
            <w:pPr>
              <w:keepNext w:val="0"/>
              <w:keepLines w:val="0"/>
              <w:widowControl/>
              <w:suppressLineNumbers w:val="0"/>
              <w:jc w:val="center"/>
              <w:textAlignment w:val="top"/>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高中地理分层教学中践行学科核心素养的应用探究</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14:paraId="0032F90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刘洋</w:t>
            </w:r>
          </w:p>
        </w:tc>
      </w:tr>
    </w:tbl>
    <w:p w14:paraId="5F2537B2">
      <w:pPr>
        <w:jc w:val="left"/>
        <w:rPr>
          <w:rFonts w:hint="eastAsia" w:ascii="仿宋" w:hAnsi="仿宋" w:eastAsia="仿宋" w:cs="仿宋"/>
          <w:sz w:val="32"/>
          <w:szCs w:val="32"/>
        </w:rPr>
      </w:pPr>
    </w:p>
    <w:p w14:paraId="73AE647E">
      <w:bookmarkStart w:id="0" w:name="_GoBack"/>
      <w:bookmarkEnd w:id="0"/>
    </w:p>
    <w:sectPr>
      <w:headerReference r:id="rId3" w:type="default"/>
      <w:footerReference r:id="rId4" w:type="default"/>
      <w:pgSz w:w="16838" w:h="11906" w:orient="landscape"/>
      <w:pgMar w:top="1361" w:right="1559" w:bottom="1474" w:left="1559" w:header="992" w:footer="567"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C8144">
    <w:pPr>
      <w:pStyle w:val="2"/>
      <w:rPr>
        <w:rFonts w:hint="default"/>
        <w:lang w:val="en-US"/>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93A466">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1C93A466">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1E079">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6F0EEB"/>
    <w:rsid w:val="012C4639"/>
    <w:rsid w:val="02FF11C0"/>
    <w:rsid w:val="046E6B4B"/>
    <w:rsid w:val="086C5E40"/>
    <w:rsid w:val="0AC94734"/>
    <w:rsid w:val="0E42461A"/>
    <w:rsid w:val="0E91469A"/>
    <w:rsid w:val="1289341C"/>
    <w:rsid w:val="165C7AFF"/>
    <w:rsid w:val="1895699B"/>
    <w:rsid w:val="1B6F0EEB"/>
    <w:rsid w:val="20757E38"/>
    <w:rsid w:val="257A6B2F"/>
    <w:rsid w:val="2C8D25F9"/>
    <w:rsid w:val="2CAA5BAA"/>
    <w:rsid w:val="2D383215"/>
    <w:rsid w:val="2FD141BC"/>
    <w:rsid w:val="30042AC8"/>
    <w:rsid w:val="31503ABE"/>
    <w:rsid w:val="32EF6914"/>
    <w:rsid w:val="33C6019D"/>
    <w:rsid w:val="34A34242"/>
    <w:rsid w:val="36B2629C"/>
    <w:rsid w:val="3CEF5962"/>
    <w:rsid w:val="3E725140"/>
    <w:rsid w:val="42A336EA"/>
    <w:rsid w:val="444F6DA9"/>
    <w:rsid w:val="48575202"/>
    <w:rsid w:val="494203DC"/>
    <w:rsid w:val="4A5D71EC"/>
    <w:rsid w:val="4C2439B6"/>
    <w:rsid w:val="4C3B5051"/>
    <w:rsid w:val="4DF40E40"/>
    <w:rsid w:val="51842931"/>
    <w:rsid w:val="52392B0B"/>
    <w:rsid w:val="582B34A0"/>
    <w:rsid w:val="58A107A4"/>
    <w:rsid w:val="59FA1DEC"/>
    <w:rsid w:val="5C2E1D3B"/>
    <w:rsid w:val="5E6C439A"/>
    <w:rsid w:val="5F5B607F"/>
    <w:rsid w:val="66167AAD"/>
    <w:rsid w:val="67A20C4A"/>
    <w:rsid w:val="694F5805"/>
    <w:rsid w:val="6B3B2453"/>
    <w:rsid w:val="6DB50101"/>
    <w:rsid w:val="6EFD25CC"/>
    <w:rsid w:val="716218D9"/>
    <w:rsid w:val="785364CC"/>
    <w:rsid w:val="78BB2B0E"/>
    <w:rsid w:val="794200D5"/>
    <w:rsid w:val="7BD87028"/>
    <w:rsid w:val="7D727231"/>
    <w:rsid w:val="7E7963E5"/>
    <w:rsid w:val="7E8D6284"/>
    <w:rsid w:val="7F936F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市直单位</Company>
  <Pages>4</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2025-04-02T01:18:00Z</dcterms:created>
  <dc:creator>周念珠</dc:creator>
  <cp:lastModifiedBy>周念珠</cp:lastModifiedBy>
  <dcterms:modified xsi:type="dcterms:W3CDTF">2025-04-02T01:18:21Z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A963988994E74D3F83B2AA791A5EF9F6_11</vt:lpwstr>
  </property>
  <property fmtid="{D5CDD505-2E9C-101B-9397-08002B2CF9AE}" pid="4" name="KSOTemplateDocerSaveRecord">
    <vt:lpwstr>eyJoZGlkIjoiMDNmZmYyZjE2ODU0MWE2NzBlZGViOTA3OGM3M2Q3ZDgiLCJ1c2VySWQiOiIxNjY2MjU2MDk0In0=</vt:lpwstr>
  </property>
</Properties>
</file>